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9E9" w:rsidRPr="005B60B9" w:rsidRDefault="00A719E9" w:rsidP="00A719E9">
      <w:pPr>
        <w:rPr>
          <w:rFonts w:ascii="Arial" w:hAnsi="Arial" w:cs="Arial"/>
          <w:sz w:val="20"/>
          <w:szCs w:val="20"/>
        </w:rPr>
      </w:pPr>
      <w:r w:rsidRPr="005B60B9">
        <w:rPr>
          <w:rFonts w:ascii="Arial" w:hAnsi="Arial" w:cs="Arial"/>
          <w:sz w:val="20"/>
          <w:szCs w:val="20"/>
        </w:rPr>
        <w:t>Critical Evaluation of Cd, Cu, Ni, Pb and Zn Biomagnification in Aquatic Ecosystems</w:t>
      </w:r>
    </w:p>
    <w:p w:rsidR="00A719E9" w:rsidRPr="005B60B9" w:rsidRDefault="00A719E9" w:rsidP="00A719E9">
      <w:pPr>
        <w:rPr>
          <w:rFonts w:ascii="Arial" w:hAnsi="Arial" w:cs="Arial"/>
          <w:sz w:val="20"/>
          <w:szCs w:val="20"/>
        </w:rPr>
      </w:pPr>
      <w:r w:rsidRPr="005B60B9">
        <w:rPr>
          <w:rFonts w:ascii="Arial" w:hAnsi="Arial" w:cs="Arial"/>
          <w:sz w:val="20"/>
          <w:szCs w:val="20"/>
        </w:rPr>
        <w:t>Ecotoxicology</w:t>
      </w:r>
    </w:p>
    <w:p w:rsidR="00A719E9" w:rsidRPr="005B60B9" w:rsidRDefault="00A719E9" w:rsidP="00A719E9">
      <w:pPr>
        <w:rPr>
          <w:rFonts w:ascii="Arial" w:hAnsi="Arial" w:cs="Arial"/>
          <w:sz w:val="20"/>
          <w:szCs w:val="20"/>
        </w:rPr>
      </w:pPr>
      <w:r w:rsidRPr="005B60B9">
        <w:rPr>
          <w:rFonts w:ascii="Arial" w:hAnsi="Arial" w:cs="Arial"/>
          <w:sz w:val="20"/>
          <w:szCs w:val="20"/>
        </w:rPr>
        <w:t>Cardwell RD</w:t>
      </w:r>
      <w:r w:rsidRPr="005B60B9">
        <w:rPr>
          <w:rFonts w:ascii="Arial" w:hAnsi="Arial" w:cs="Arial"/>
          <w:sz w:val="20"/>
          <w:szCs w:val="20"/>
          <w:vertAlign w:val="superscript"/>
        </w:rPr>
        <w:t>a</w:t>
      </w:r>
      <w:r w:rsidRPr="005B60B9">
        <w:rPr>
          <w:rFonts w:ascii="Arial" w:hAnsi="Arial" w:cs="Arial"/>
          <w:sz w:val="20"/>
          <w:szCs w:val="20"/>
        </w:rPr>
        <w:t>, DK DeForest</w:t>
      </w:r>
      <w:r w:rsidRPr="005B60B9">
        <w:rPr>
          <w:rFonts w:ascii="Arial" w:hAnsi="Arial" w:cs="Arial"/>
          <w:sz w:val="20"/>
          <w:szCs w:val="20"/>
          <w:vertAlign w:val="superscript"/>
        </w:rPr>
        <w:t>b</w:t>
      </w:r>
      <w:r w:rsidRPr="005B60B9">
        <w:rPr>
          <w:rFonts w:ascii="Arial" w:hAnsi="Arial" w:cs="Arial"/>
          <w:sz w:val="20"/>
          <w:szCs w:val="20"/>
        </w:rPr>
        <w:t>, KV Brix</w:t>
      </w:r>
      <w:r w:rsidRPr="005B60B9">
        <w:rPr>
          <w:rFonts w:ascii="Arial" w:hAnsi="Arial" w:cs="Arial"/>
          <w:sz w:val="20"/>
          <w:szCs w:val="20"/>
          <w:vertAlign w:val="superscript"/>
        </w:rPr>
        <w:t>c</w:t>
      </w:r>
      <w:r w:rsidRPr="005B60B9">
        <w:rPr>
          <w:rFonts w:ascii="Arial" w:hAnsi="Arial" w:cs="Arial"/>
          <w:sz w:val="20"/>
          <w:szCs w:val="20"/>
        </w:rPr>
        <w:t xml:space="preserve"> and WJ Adams</w:t>
      </w:r>
      <w:r w:rsidRPr="005B60B9">
        <w:rPr>
          <w:rFonts w:ascii="Arial" w:hAnsi="Arial" w:cs="Arial"/>
          <w:sz w:val="20"/>
          <w:szCs w:val="20"/>
          <w:vertAlign w:val="superscript"/>
        </w:rPr>
        <w:t>d</w:t>
      </w:r>
    </w:p>
    <w:p w:rsidR="00A719E9" w:rsidRPr="005B60B9" w:rsidRDefault="00A719E9" w:rsidP="00A719E9">
      <w:pPr>
        <w:rPr>
          <w:rFonts w:ascii="Arial" w:hAnsi="Arial" w:cs="Arial"/>
          <w:sz w:val="20"/>
          <w:szCs w:val="20"/>
        </w:rPr>
      </w:pPr>
      <w:r w:rsidRPr="005B60B9">
        <w:rPr>
          <w:rFonts w:ascii="Arial" w:hAnsi="Arial" w:cs="Arial"/>
          <w:sz w:val="20"/>
          <w:szCs w:val="20"/>
          <w:vertAlign w:val="superscript"/>
        </w:rPr>
        <w:t>a</w:t>
      </w:r>
      <w:r w:rsidRPr="005B60B9">
        <w:rPr>
          <w:rFonts w:ascii="Arial" w:hAnsi="Arial" w:cs="Arial"/>
          <w:sz w:val="20"/>
          <w:szCs w:val="20"/>
        </w:rPr>
        <w:t xml:space="preserve">Cardwell Consulting LLC, Corvallis, OR; </w:t>
      </w:r>
      <w:r w:rsidRPr="005B60B9">
        <w:rPr>
          <w:rFonts w:ascii="Arial" w:hAnsi="Arial" w:cs="Arial"/>
          <w:sz w:val="20"/>
          <w:szCs w:val="20"/>
          <w:vertAlign w:val="superscript"/>
        </w:rPr>
        <w:t>b</w:t>
      </w:r>
      <w:r w:rsidRPr="005B60B9">
        <w:rPr>
          <w:rFonts w:ascii="Arial" w:hAnsi="Arial" w:cs="Arial"/>
          <w:sz w:val="20"/>
          <w:szCs w:val="20"/>
        </w:rPr>
        <w:t xml:space="preserve">Windward Environmental, Seattle, WA; </w:t>
      </w:r>
      <w:r w:rsidRPr="005B60B9">
        <w:rPr>
          <w:rFonts w:ascii="Arial" w:hAnsi="Arial" w:cs="Arial"/>
          <w:sz w:val="20"/>
          <w:szCs w:val="20"/>
          <w:vertAlign w:val="superscript"/>
        </w:rPr>
        <w:t>c</w:t>
      </w:r>
      <w:r w:rsidRPr="005B60B9">
        <w:rPr>
          <w:rFonts w:ascii="Arial" w:hAnsi="Arial" w:cs="Arial"/>
          <w:sz w:val="20"/>
          <w:szCs w:val="20"/>
        </w:rPr>
        <w:t xml:space="preserve">RSMAS University of Miami, FL; </w:t>
      </w:r>
      <w:r w:rsidRPr="005B60B9">
        <w:rPr>
          <w:rFonts w:ascii="Arial" w:hAnsi="Arial" w:cs="Arial"/>
          <w:sz w:val="20"/>
          <w:szCs w:val="20"/>
          <w:vertAlign w:val="superscript"/>
        </w:rPr>
        <w:t>d</w:t>
      </w:r>
      <w:r w:rsidR="005B60B9">
        <w:rPr>
          <w:rFonts w:ascii="Arial" w:hAnsi="Arial" w:cs="Arial"/>
          <w:sz w:val="20"/>
          <w:szCs w:val="20"/>
        </w:rPr>
        <w:t>Rio Tinto, South Jordan</w:t>
      </w:r>
      <w:r w:rsidRPr="005B60B9">
        <w:rPr>
          <w:rFonts w:ascii="Arial" w:hAnsi="Arial" w:cs="Arial"/>
          <w:sz w:val="20"/>
          <w:szCs w:val="20"/>
        </w:rPr>
        <w:t>, UT</w:t>
      </w:r>
    </w:p>
    <w:p w:rsidR="00A719E9" w:rsidRPr="005B60B9" w:rsidRDefault="00A719E9" w:rsidP="00A719E9">
      <w:pPr>
        <w:rPr>
          <w:rFonts w:ascii="Arial" w:hAnsi="Arial" w:cs="Arial"/>
          <w:sz w:val="20"/>
          <w:szCs w:val="20"/>
        </w:rPr>
      </w:pPr>
      <w:r w:rsidRPr="005B60B9">
        <w:rPr>
          <w:rFonts w:ascii="Arial" w:hAnsi="Arial" w:cs="Arial"/>
          <w:sz w:val="20"/>
          <w:szCs w:val="20"/>
        </w:rPr>
        <w:t>cardwellconsultingllc@comcast.net</w:t>
      </w:r>
    </w:p>
    <w:p w:rsidR="00773753" w:rsidRDefault="00A719E9" w:rsidP="00A719E9">
      <w:pPr>
        <w:rPr>
          <w:rFonts w:ascii="Arial" w:hAnsi="Arial" w:cs="Arial"/>
          <w:b/>
          <w:sz w:val="20"/>
          <w:szCs w:val="20"/>
        </w:rPr>
      </w:pPr>
      <w:r w:rsidRPr="005B60B9">
        <w:rPr>
          <w:rFonts w:ascii="Arial" w:hAnsi="Arial" w:cs="Arial"/>
          <w:b/>
          <w:sz w:val="20"/>
          <w:szCs w:val="20"/>
        </w:rPr>
        <w:t>Online Resource 2</w:t>
      </w:r>
      <w:r w:rsidR="00773753">
        <w:rPr>
          <w:rFonts w:ascii="Arial" w:hAnsi="Arial" w:cs="Arial"/>
          <w:b/>
          <w:sz w:val="20"/>
          <w:szCs w:val="20"/>
        </w:rPr>
        <w:t xml:space="preserve"> List of Contents:</w:t>
      </w:r>
    </w:p>
    <w:p w:rsidR="001B7C29" w:rsidRDefault="0025580C" w:rsidP="001B7C29">
      <w:pPr>
        <w:pStyle w:val="ListParagraph"/>
        <w:numPr>
          <w:ilvl w:val="0"/>
          <w:numId w:val="1"/>
        </w:numPr>
        <w:spacing w:before="120" w:after="120"/>
        <w:ind w:left="720"/>
        <w:rPr>
          <w:rFonts w:ascii="Arial" w:hAnsi="Arial" w:cs="Arial"/>
          <w:b/>
          <w:sz w:val="20"/>
          <w:szCs w:val="20"/>
        </w:rPr>
      </w:pPr>
      <w:r w:rsidRPr="001B7C29">
        <w:rPr>
          <w:rFonts w:ascii="Arial" w:hAnsi="Arial" w:cs="Arial"/>
          <w:sz w:val="20"/>
          <w:szCs w:val="20"/>
        </w:rPr>
        <w:t>Table detailing b</w:t>
      </w:r>
      <w:r w:rsidR="00A719E9" w:rsidRPr="001B7C29">
        <w:rPr>
          <w:rFonts w:ascii="Arial" w:hAnsi="Arial" w:cs="Arial"/>
          <w:sz w:val="20"/>
          <w:szCs w:val="20"/>
        </w:rPr>
        <w:t xml:space="preserve">iokinetic data for freshwater organisms.  Bold fonts represent </w:t>
      </w:r>
      <w:r w:rsidR="00C11D44" w:rsidRPr="001B7C29">
        <w:rPr>
          <w:rFonts w:ascii="Arial" w:hAnsi="Arial" w:cs="Arial"/>
          <w:sz w:val="20"/>
          <w:szCs w:val="20"/>
        </w:rPr>
        <w:t>geometric</w:t>
      </w:r>
      <w:r w:rsidR="00A719E9" w:rsidRPr="001B7C29">
        <w:rPr>
          <w:rFonts w:ascii="Arial" w:hAnsi="Arial" w:cs="Arial"/>
          <w:sz w:val="20"/>
          <w:szCs w:val="20"/>
        </w:rPr>
        <w:t xml:space="preserve"> mean and standard error of the </w:t>
      </w:r>
      <w:r w:rsidR="00C11D44" w:rsidRPr="001B7C29">
        <w:rPr>
          <w:rFonts w:ascii="Arial" w:hAnsi="Arial" w:cs="Arial"/>
          <w:sz w:val="20"/>
          <w:szCs w:val="20"/>
        </w:rPr>
        <w:t xml:space="preserve">geometric </w:t>
      </w:r>
      <w:r w:rsidR="00A719E9" w:rsidRPr="001B7C29">
        <w:rPr>
          <w:rFonts w:ascii="Arial" w:hAnsi="Arial" w:cs="Arial"/>
          <w:sz w:val="20"/>
          <w:szCs w:val="20"/>
        </w:rPr>
        <w:t>mean (SEM) for taxonomic group</w:t>
      </w:r>
      <w:r w:rsidR="00C11D44" w:rsidRPr="001B7C29">
        <w:rPr>
          <w:rFonts w:ascii="Arial" w:hAnsi="Arial" w:cs="Arial"/>
          <w:sz w:val="20"/>
          <w:szCs w:val="20"/>
        </w:rPr>
        <w:t>s</w:t>
      </w:r>
      <w:r w:rsidR="00A719E9" w:rsidRPr="001B7C29">
        <w:rPr>
          <w:rFonts w:ascii="Arial" w:hAnsi="Arial" w:cs="Arial"/>
          <w:sz w:val="20"/>
          <w:szCs w:val="20"/>
        </w:rPr>
        <w:t>.</w:t>
      </w:r>
      <w:r w:rsidR="00A719E9" w:rsidRPr="001B7C29"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773753" w:rsidRPr="001B7C29" w:rsidRDefault="00773753" w:rsidP="001B7C29">
      <w:pPr>
        <w:pStyle w:val="ListParagraph"/>
        <w:numPr>
          <w:ilvl w:val="0"/>
          <w:numId w:val="1"/>
        </w:numPr>
        <w:spacing w:before="120" w:after="120"/>
        <w:ind w:left="720"/>
        <w:rPr>
          <w:rFonts w:ascii="Arial" w:hAnsi="Arial" w:cs="Arial"/>
          <w:b/>
          <w:sz w:val="20"/>
          <w:szCs w:val="20"/>
        </w:rPr>
      </w:pPr>
      <w:r w:rsidRPr="001B7C29">
        <w:rPr>
          <w:rFonts w:ascii="Arial" w:hAnsi="Arial" w:cs="Arial"/>
          <w:sz w:val="20"/>
          <w:szCs w:val="20"/>
        </w:rPr>
        <w:t xml:space="preserve">References for Studies </w:t>
      </w:r>
      <w:r w:rsidR="007A663E" w:rsidRPr="001B7C29">
        <w:rPr>
          <w:rFonts w:ascii="Arial" w:hAnsi="Arial" w:cs="Arial"/>
          <w:sz w:val="20"/>
          <w:szCs w:val="20"/>
        </w:rPr>
        <w:t>Cited in Table</w:t>
      </w:r>
    </w:p>
    <w:tbl>
      <w:tblPr>
        <w:tblW w:w="5000" w:type="pct"/>
        <w:tblLook w:val="04A0"/>
      </w:tblPr>
      <w:tblGrid>
        <w:gridCol w:w="1764"/>
        <w:gridCol w:w="1502"/>
        <w:gridCol w:w="1577"/>
        <w:gridCol w:w="1347"/>
        <w:gridCol w:w="559"/>
        <w:gridCol w:w="796"/>
        <w:gridCol w:w="706"/>
        <w:gridCol w:w="540"/>
        <w:gridCol w:w="640"/>
        <w:gridCol w:w="959"/>
        <w:gridCol w:w="640"/>
        <w:gridCol w:w="2146"/>
      </w:tblGrid>
      <w:tr w:rsidR="00D93F70" w:rsidRPr="006F3EAB" w:rsidTr="00676C0D">
        <w:trPr>
          <w:trHeight w:val="585"/>
          <w:tblHeader/>
        </w:trPr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Species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11F1" w:rsidRDefault="00D93F70" w:rsidP="005611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Taxonomic</w:t>
            </w:r>
          </w:p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Group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Feeding</w:t>
            </w:r>
            <w:r w:rsidR="00437CE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Strategy</w:t>
            </w:r>
            <w:r w:rsidR="00437CE4">
              <w:rPr>
                <w:rFonts w:ascii="Arial" w:hAnsi="Arial" w:cs="Arial"/>
                <w:b/>
                <w:bCs/>
                <w:sz w:val="16"/>
                <w:szCs w:val="16"/>
              </w:rPr>
              <w:t>/ Trophic Level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Diet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AE               %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IR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(g</w:t>
            </w:r>
          </w:p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-1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-1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k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  <w:vertAlign w:val="subscript"/>
              </w:rPr>
              <w:t>e, food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(d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-1</w:t>
            </w: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</w:p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(d</w:t>
            </w:r>
            <w:r w:rsidRPr="00D93F70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-1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TTF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Pr="006F3EAB" w:rsidRDefault="007A663E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2DED">
              <w:rPr>
                <w:rFonts w:ascii="Arial" w:hAnsi="Arial" w:cs="Arial"/>
                <w:b/>
                <w:bCs/>
                <w:sz w:val="16"/>
                <w:szCs w:val="16"/>
              </w:rPr>
              <w:t>Geo</w:t>
            </w:r>
            <w:r w:rsidR="00676C0D" w:rsidRPr="00A92DED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="00D93F70" w:rsidRPr="00A92DED">
              <w:rPr>
                <w:rFonts w:ascii="Arial" w:hAnsi="Arial" w:cs="Arial"/>
                <w:b/>
                <w:bCs/>
                <w:sz w:val="16"/>
                <w:szCs w:val="16"/>
              </w:rPr>
              <w:t>ean</w:t>
            </w:r>
            <w:r w:rsidR="00997E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TTF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93F70" w:rsidRPr="006F3EAB" w:rsidRDefault="00D93F70" w:rsidP="00437CE4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SEM</w:t>
            </w:r>
            <w:r w:rsidR="00997E9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Reference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sz w:val="16"/>
                <w:szCs w:val="16"/>
              </w:rPr>
              <w:t>Cadmium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 w:rsidR="00437CE4"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8724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0.171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0.65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0.21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22.5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1.45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Guan and Wang 2004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50.8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1.45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0.075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9.8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Guan and Wang 2004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35.7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0.96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0.0073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46.9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Tan and Wang 2008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pulex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6.2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13.6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8.5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Mathews and Fisher 2008a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Lymnaea stagnalis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Gastropod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 w:rsidR="00437CE4"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0.021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7.33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7.33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Croteau and Luoma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D93F70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Serratella tibialis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D93F70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Drunella flavilinea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0.89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D93F70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Nixe sp.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1.82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D93F70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Epeorus albertae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0.34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D93F70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3F70">
              <w:rPr>
                <w:rFonts w:ascii="Arial" w:hAnsi="Arial" w:cs="Arial"/>
                <w:b/>
                <w:sz w:val="16"/>
                <w:szCs w:val="16"/>
              </w:rPr>
              <w:t>1.04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D93F70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3F70">
              <w:rPr>
                <w:rFonts w:ascii="Arial" w:hAnsi="Arial" w:cs="Arial"/>
                <w:b/>
                <w:sz w:val="16"/>
                <w:szCs w:val="16"/>
              </w:rPr>
              <w:t>0.31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Claassenia sabulosa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Stonefly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Carnivore</w:t>
            </w:r>
            <w:r w:rsidR="00437CE4"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Oligochaete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0.091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Martin et al. 2007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Paragnetina sp.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Stonefly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Carnivore – TL3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Oligochaete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0.035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0.118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Martin et al. 2007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Acroneuria abnormis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Stonefly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Carnivore – TL3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Oligochaete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0.045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Martin et al. 2007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Hesperoperla pacifica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Stonefly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Carnivore – TL3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Oligochaete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Martin et al. 2007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Isogenoides hansoni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Stonefly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Carnivore – TL3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Oligochaete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0.085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0.078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87249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249B">
              <w:rPr>
                <w:rFonts w:ascii="Arial" w:hAnsi="Arial" w:cs="Arial"/>
                <w:b/>
                <w:sz w:val="16"/>
                <w:szCs w:val="16"/>
              </w:rPr>
              <w:t>0.54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87249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7249B">
              <w:rPr>
                <w:rFonts w:ascii="Arial" w:hAnsi="Arial" w:cs="Arial"/>
                <w:b/>
                <w:sz w:val="16"/>
                <w:szCs w:val="16"/>
              </w:rPr>
              <w:t>0.09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Martin et al. 2007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Danio rerio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Planktivore</w:t>
            </w:r>
            <w:r w:rsidR="005611F1">
              <w:rPr>
                <w:rFonts w:ascii="Arial" w:hAnsi="Arial" w:cs="Arial"/>
                <w:sz w:val="16"/>
                <w:szCs w:val="16"/>
              </w:rPr>
              <w:t xml:space="preserve"> – TL3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Invertebrates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5.15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2.05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0.003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Liu et al. 2002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Fundulus heteroclitus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Carnivore</w:t>
            </w:r>
            <w:r w:rsidR="005611F1">
              <w:rPr>
                <w:rFonts w:ascii="Arial" w:hAnsi="Arial" w:cs="Arial"/>
                <w:sz w:val="16"/>
                <w:szCs w:val="16"/>
              </w:rPr>
              <w:t xml:space="preserve"> – TL3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Invertebrates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0.53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0.27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Mathews et al. 2008</w:t>
            </w:r>
          </w:p>
        </w:tc>
      </w:tr>
      <w:tr w:rsidR="00D93F70" w:rsidRPr="006F3EAB" w:rsidTr="00676C0D">
        <w:trPr>
          <w:trHeight w:val="240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93F70" w:rsidRPr="006F3EAB" w:rsidTr="00676C0D">
        <w:trPr>
          <w:trHeight w:val="31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Copper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0.17076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1.43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0.515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1.39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0.73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Zhao et al.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lastRenderedPageBreak/>
              <w:t>Lymnaea stagnalis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Gastropod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0.026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5.55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5.55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Croteau and Luoma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Corbicula fluminea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Bivalve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3F70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0.28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F70" w:rsidRPr="006F3EAB" w:rsidRDefault="00D93F70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26.60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26.60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3F70" w:rsidRPr="006F3EAB" w:rsidRDefault="00D93F70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Croteau and Luoma 2005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72BC3" w:rsidRDefault="00A72BC3" w:rsidP="00AC5347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Serratella tibialis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AC534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72BC3" w:rsidRDefault="00A72BC3" w:rsidP="00AC5347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Drunella flavilinea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AC534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2.23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72BC3" w:rsidRDefault="00A72BC3" w:rsidP="00AC5347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Nixe sp.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AC534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0.22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0.68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72BC3" w:rsidRDefault="00A72BC3" w:rsidP="00AC5347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Epeorus albertae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Mayfly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Default="00A72BC3" w:rsidP="00AC5347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1.25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A72BC3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2BC3">
              <w:rPr>
                <w:rFonts w:ascii="Arial" w:hAnsi="Arial" w:cs="Arial"/>
                <w:b/>
                <w:sz w:val="16"/>
                <w:szCs w:val="16"/>
              </w:rPr>
              <w:t>0.37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Cain et al. 2011</w:t>
            </w:r>
          </w:p>
        </w:tc>
      </w:tr>
      <w:tr w:rsidR="005611F1" w:rsidRPr="006F3EAB" w:rsidTr="00676C0D">
        <w:trPr>
          <w:trHeight w:val="240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11F1" w:rsidRPr="006F3EAB" w:rsidTr="00676C0D">
        <w:trPr>
          <w:trHeight w:val="31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Nickel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0.17076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1.60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0.01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Lymnaea stagnalis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Gastropod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9F41EF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Herbivore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Periphyton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0.173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0.86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0.86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Croteau and Luoma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Chaoborus flavicans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Midge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Planktivore</w:t>
            </w:r>
            <w:r w:rsidR="00AC5347"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0.02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Ponton and Hare 2010</w:t>
            </w:r>
          </w:p>
        </w:tc>
      </w:tr>
      <w:tr w:rsidR="005611F1" w:rsidRPr="006F3EAB" w:rsidTr="00676C0D">
        <w:trPr>
          <w:trHeight w:val="240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11F1" w:rsidRPr="006F3EAB" w:rsidTr="00676C0D">
        <w:trPr>
          <w:trHeight w:val="31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Zinc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437CE4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0.17076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0.32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Komjarova and Blust 2009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437CE4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1.45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0.29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0.34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Guan and Wang 2004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437CE4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4.95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0.29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0.25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Guan and Wang 2004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Daphnia magna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Cladoceran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2BC3" w:rsidRPr="006F3EAB" w:rsidRDefault="00437CE4" w:rsidP="009F41E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Filter Feeder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</w:t>
            </w:r>
            <w:r w:rsidR="009F41E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Algae</w:t>
            </w: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23.9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0.96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0.165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1.39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0.54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0.29</w:t>
            </w:r>
          </w:p>
        </w:tc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Tan and Wang 2008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6F3EAB">
              <w:rPr>
                <w:rFonts w:ascii="Arial" w:hAnsi="Arial" w:cs="Arial"/>
                <w:i/>
                <w:sz w:val="16"/>
                <w:szCs w:val="16"/>
              </w:rPr>
              <w:t>Danio rerio</w:t>
            </w: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Fish</w:t>
            </w: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C5347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Planktivore</w:t>
            </w:r>
            <w:r>
              <w:rPr>
                <w:rFonts w:ascii="Arial" w:hAnsi="Arial" w:cs="Arial"/>
                <w:sz w:val="16"/>
                <w:szCs w:val="16"/>
              </w:rPr>
              <w:t xml:space="preserve"> – TL3</w:t>
            </w: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Invertebrates</w:t>
            </w:r>
          </w:p>
        </w:tc>
        <w:tc>
          <w:tcPr>
            <w:tcW w:w="21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2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0.12</w:t>
            </w: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F3EAB">
              <w:rPr>
                <w:rFonts w:ascii="Arial" w:hAnsi="Arial" w:cs="Arial"/>
                <w:b/>
                <w:bCs/>
                <w:sz w:val="16"/>
                <w:szCs w:val="16"/>
              </w:rPr>
              <w:t>0.12</w:t>
            </w:r>
          </w:p>
        </w:tc>
        <w:tc>
          <w:tcPr>
            <w:tcW w:w="2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F3EAB">
              <w:rPr>
                <w:rFonts w:ascii="Arial" w:hAnsi="Arial" w:cs="Arial"/>
                <w:sz w:val="16"/>
                <w:szCs w:val="16"/>
              </w:rPr>
              <w:t>Liu et al. 2002</w:t>
            </w:r>
          </w:p>
        </w:tc>
      </w:tr>
      <w:tr w:rsidR="005611F1" w:rsidRPr="006F3EAB" w:rsidTr="00676C0D">
        <w:trPr>
          <w:trHeight w:val="255"/>
        </w:trPr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5611F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2BC3" w:rsidRPr="006F3EAB" w:rsidRDefault="00A72BC3" w:rsidP="00D93F7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2BC3" w:rsidRPr="006F3EAB" w:rsidRDefault="00A72BC3" w:rsidP="006F3EA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F3EAB" w:rsidRPr="006F3EAB" w:rsidRDefault="006F3EAB" w:rsidP="006F3EAB">
      <w:pPr>
        <w:spacing w:before="120" w:after="0"/>
        <w:rPr>
          <w:rFonts w:ascii="Arial" w:hAnsi="Arial" w:cs="Arial"/>
          <w:sz w:val="16"/>
          <w:szCs w:val="16"/>
        </w:rPr>
      </w:pPr>
      <w:r w:rsidRPr="006F3EAB">
        <w:rPr>
          <w:rFonts w:ascii="Arial" w:hAnsi="Arial" w:cs="Arial"/>
          <w:sz w:val="16"/>
          <w:szCs w:val="16"/>
        </w:rPr>
        <w:t>AE = assimilation efficiency</w:t>
      </w:r>
    </w:p>
    <w:p w:rsidR="006F3EAB" w:rsidRPr="006F3EAB" w:rsidRDefault="006F3EAB" w:rsidP="006F3EAB">
      <w:pPr>
        <w:spacing w:after="0"/>
        <w:rPr>
          <w:rFonts w:ascii="Arial" w:hAnsi="Arial" w:cs="Arial"/>
          <w:sz w:val="16"/>
          <w:szCs w:val="16"/>
        </w:rPr>
      </w:pPr>
      <w:r w:rsidRPr="006F3EAB">
        <w:rPr>
          <w:rFonts w:ascii="Arial" w:hAnsi="Arial" w:cs="Arial"/>
          <w:sz w:val="16"/>
          <w:szCs w:val="16"/>
        </w:rPr>
        <w:t>IR = ingestion rate</w:t>
      </w:r>
    </w:p>
    <w:p w:rsidR="00997E9F" w:rsidRDefault="006F3EAB" w:rsidP="006F3EAB">
      <w:pPr>
        <w:spacing w:after="0"/>
        <w:rPr>
          <w:rFonts w:ascii="Arial" w:hAnsi="Arial" w:cs="Arial"/>
          <w:sz w:val="16"/>
          <w:szCs w:val="16"/>
        </w:rPr>
      </w:pPr>
      <w:r w:rsidRPr="006F3EAB">
        <w:rPr>
          <w:rFonts w:ascii="Arial" w:hAnsi="Arial" w:cs="Arial"/>
          <w:sz w:val="16"/>
          <w:szCs w:val="16"/>
        </w:rPr>
        <w:t>Ke, food = efflux rate from food</w:t>
      </w:r>
    </w:p>
    <w:p w:rsidR="00997E9F" w:rsidRDefault="00997E9F" w:rsidP="006F3EAB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</w:t>
      </w:r>
    </w:p>
    <w:p w:rsidR="00997E9F" w:rsidRDefault="00997E9F" w:rsidP="006F3EAB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TTF = trophic transfer factor</w:t>
      </w:r>
    </w:p>
    <w:p w:rsidR="00997E9F" w:rsidRDefault="00997E9F" w:rsidP="006F3EAB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Mean TTF = arithmetic mean of trophic transfer factor</w:t>
      </w:r>
    </w:p>
    <w:p w:rsidR="00997E9F" w:rsidRDefault="00997E9F" w:rsidP="006F3EAB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SEM TTF = standard error of the mean of trophic transfer factor</w:t>
      </w:r>
    </w:p>
    <w:p w:rsidR="00997E9F" w:rsidRDefault="00997E9F" w:rsidP="006F3EAB">
      <w:pPr>
        <w:spacing w:after="0"/>
        <w:rPr>
          <w:rFonts w:ascii="Arial" w:hAnsi="Arial" w:cs="Arial"/>
          <w:sz w:val="16"/>
          <w:szCs w:val="16"/>
        </w:rPr>
      </w:pPr>
    </w:p>
    <w:p w:rsidR="00997E9F" w:rsidRDefault="00997E9F" w:rsidP="006F3EAB">
      <w:pPr>
        <w:spacing w:after="0"/>
        <w:rPr>
          <w:rFonts w:ascii="Arial" w:hAnsi="Arial" w:cs="Arial"/>
          <w:sz w:val="16"/>
          <w:szCs w:val="16"/>
        </w:rPr>
        <w:sectPr w:rsidR="00997E9F" w:rsidSect="006F3EAB">
          <w:pgSz w:w="15840" w:h="12240" w:orient="landscape"/>
          <w:pgMar w:top="1440" w:right="1440" w:bottom="720" w:left="1440" w:header="720" w:footer="720" w:gutter="0"/>
          <w:cols w:space="720"/>
          <w:docGrid w:linePitch="360"/>
        </w:sectPr>
      </w:pPr>
    </w:p>
    <w:p w:rsidR="00A719E9" w:rsidRPr="00405A64" w:rsidRDefault="00A719E9" w:rsidP="00A719E9">
      <w:pPr>
        <w:spacing w:after="120"/>
        <w:rPr>
          <w:rFonts w:ascii="Arial" w:hAnsi="Arial" w:cs="Arial"/>
          <w:sz w:val="20"/>
          <w:szCs w:val="20"/>
        </w:rPr>
      </w:pPr>
      <w:r w:rsidRPr="00405A64">
        <w:rPr>
          <w:rFonts w:ascii="Arial" w:hAnsi="Arial" w:cs="Arial"/>
          <w:b/>
          <w:sz w:val="20"/>
          <w:szCs w:val="20"/>
        </w:rPr>
        <w:t>References</w:t>
      </w:r>
    </w:p>
    <w:p w:rsidR="00F15EEB" w:rsidRDefault="00F15EEB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Cain D, Croteau MN, Luoma S (2011) Bioaccumulation dynamics and exposure routes of Cd and Cu among species of aquatic mayflies. Environ Toxicol Chem 30(11): 2532-2541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 xml:space="preserve">Croteau MN, Luoma SN (2005) Delineating copper accumulation pathways for the freshwater bivalve </w:t>
      </w:r>
      <w:r w:rsidRPr="00405A64">
        <w:rPr>
          <w:rFonts w:ascii="Arial" w:hAnsi="Arial" w:cs="Arial"/>
          <w:i/>
          <w:noProof/>
          <w:sz w:val="20"/>
          <w:szCs w:val="20"/>
        </w:rPr>
        <w:t>Corbicula</w:t>
      </w:r>
      <w:r w:rsidRPr="00405A64">
        <w:rPr>
          <w:rFonts w:ascii="Arial" w:hAnsi="Arial" w:cs="Arial"/>
          <w:noProof/>
          <w:sz w:val="20"/>
          <w:szCs w:val="20"/>
        </w:rPr>
        <w:t xml:space="preserve"> using stable copper isotopes. Environ Toxicol Chem 24(11):2871-2878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>Croteau MN, Luoma SN (2009) Predicting dietborne metal toxicity from metal influxes. Environ Sci Tech 43:4915-4921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 xml:space="preserve">Guan R, Wang WX (2004) Dietary assimilation and elimination of Cd, Se, and Zn by </w:t>
      </w:r>
      <w:r w:rsidRPr="00405A64">
        <w:rPr>
          <w:rFonts w:ascii="Arial" w:hAnsi="Arial" w:cs="Arial"/>
          <w:i/>
          <w:noProof/>
          <w:sz w:val="20"/>
          <w:szCs w:val="20"/>
        </w:rPr>
        <w:t>Daphnia magna</w:t>
      </w:r>
      <w:r w:rsidRPr="00405A64">
        <w:rPr>
          <w:rFonts w:ascii="Arial" w:hAnsi="Arial" w:cs="Arial"/>
          <w:noProof/>
          <w:sz w:val="20"/>
          <w:szCs w:val="20"/>
        </w:rPr>
        <w:t xml:space="preserve"> at different metal concentrations. Environ Toxicol Chem 23(11):2689-2698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 xml:space="preserve">Komjarova I, Blust R (2009) Application of a stable isotope technique to determine the simultaneous uptake of cadmium, copper, nickel, lead, and zinc by the water flea </w:t>
      </w:r>
      <w:r w:rsidRPr="00405A64">
        <w:rPr>
          <w:rFonts w:ascii="Arial" w:hAnsi="Arial" w:cs="Arial"/>
          <w:i/>
          <w:noProof/>
          <w:sz w:val="20"/>
          <w:szCs w:val="20"/>
        </w:rPr>
        <w:t>Daphnia magna</w:t>
      </w:r>
      <w:r w:rsidRPr="00405A64">
        <w:rPr>
          <w:rFonts w:ascii="Arial" w:hAnsi="Arial" w:cs="Arial"/>
          <w:noProof/>
          <w:sz w:val="20"/>
          <w:szCs w:val="20"/>
        </w:rPr>
        <w:t xml:space="preserve"> from water and the green algae </w:t>
      </w:r>
      <w:r w:rsidRPr="00405A64">
        <w:rPr>
          <w:rFonts w:ascii="Arial" w:hAnsi="Arial" w:cs="Arial"/>
          <w:i/>
          <w:noProof/>
          <w:sz w:val="20"/>
          <w:szCs w:val="20"/>
        </w:rPr>
        <w:t>Pseudokirchneriella subcapitata</w:t>
      </w:r>
      <w:r w:rsidRPr="00405A64">
        <w:rPr>
          <w:rFonts w:ascii="Arial" w:hAnsi="Arial" w:cs="Arial"/>
          <w:noProof/>
          <w:sz w:val="20"/>
          <w:szCs w:val="20"/>
        </w:rPr>
        <w:t>. Environ Toxicol Chem 28(8):1739-1748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 xml:space="preserve">Liu XJ, Ni IH, Wang WX (2002) Trophic transfer of heavy metals from freshwater zooplankton </w:t>
      </w:r>
      <w:r w:rsidRPr="00405A64">
        <w:rPr>
          <w:rFonts w:ascii="Arial" w:hAnsi="Arial" w:cs="Arial"/>
          <w:i/>
          <w:noProof/>
          <w:sz w:val="20"/>
          <w:szCs w:val="20"/>
        </w:rPr>
        <w:t>Daphnia magna</w:t>
      </w:r>
      <w:r w:rsidRPr="00405A64">
        <w:rPr>
          <w:rFonts w:ascii="Arial" w:hAnsi="Arial" w:cs="Arial"/>
          <w:noProof/>
          <w:sz w:val="20"/>
          <w:szCs w:val="20"/>
        </w:rPr>
        <w:t xml:space="preserve"> to zebrafish </w:t>
      </w:r>
      <w:r w:rsidRPr="00405A64">
        <w:rPr>
          <w:rFonts w:ascii="Arial" w:hAnsi="Arial" w:cs="Arial"/>
          <w:i/>
          <w:noProof/>
          <w:sz w:val="20"/>
          <w:szCs w:val="20"/>
        </w:rPr>
        <w:t>Danio rerio</w:t>
      </w:r>
      <w:r w:rsidRPr="00405A64">
        <w:rPr>
          <w:rFonts w:ascii="Arial" w:hAnsi="Arial" w:cs="Arial"/>
          <w:noProof/>
          <w:sz w:val="20"/>
          <w:szCs w:val="20"/>
        </w:rPr>
        <w:t>." Wat Res 36:4563-4569</w:t>
      </w:r>
    </w:p>
    <w:p w:rsidR="004D7100" w:rsidRDefault="004D7100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Martin CA, Luoma SN, Cain DJ, Buchwalter DB (2007) Cadmium ecophysiology in seven stonefly (Plecoptera) species: delineating sources and estimating susceptibility. Environ. Sci. Technol. 41:7171-7177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>Mathews T, Fisher NS (2008) Evaluating the trophic transfer of cadmium, polonium, and methylmercury in an estuarine food chain. Environ Toxicol Chem 27(5):1093-1101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 xml:space="preserve">Ponton DE, Hare L (2010) Nickel dynamics in the lakewater metal biomonitor </w:t>
      </w:r>
      <w:r w:rsidRPr="00405A64">
        <w:rPr>
          <w:rFonts w:ascii="Arial" w:hAnsi="Arial" w:cs="Arial"/>
          <w:i/>
          <w:noProof/>
          <w:sz w:val="20"/>
          <w:szCs w:val="20"/>
        </w:rPr>
        <w:t>Chaoborus</w:t>
      </w:r>
      <w:r w:rsidRPr="00405A64">
        <w:rPr>
          <w:rFonts w:ascii="Arial" w:hAnsi="Arial" w:cs="Arial"/>
          <w:noProof/>
          <w:sz w:val="20"/>
          <w:szCs w:val="20"/>
        </w:rPr>
        <w:t>. Aquat Toxicol 96:37-43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 xml:space="preserve">Tan QG, Wang WX (2008) The influences of ambient and body calcium on cadmium and zinc accumulation in </w:t>
      </w:r>
      <w:r w:rsidRPr="00405A64">
        <w:rPr>
          <w:rFonts w:ascii="Arial" w:hAnsi="Arial" w:cs="Arial"/>
          <w:i/>
          <w:noProof/>
          <w:sz w:val="20"/>
          <w:szCs w:val="20"/>
        </w:rPr>
        <w:t>Daphnia magna</w:t>
      </w:r>
      <w:r w:rsidRPr="00405A64">
        <w:rPr>
          <w:rFonts w:ascii="Arial" w:hAnsi="Arial" w:cs="Arial"/>
          <w:noProof/>
          <w:sz w:val="20"/>
          <w:szCs w:val="20"/>
        </w:rPr>
        <w:t>. Environ Toxicol Chem 27(7):1605-1613</w:t>
      </w:r>
    </w:p>
    <w:p w:rsidR="00A719E9" w:rsidRPr="00405A64" w:rsidRDefault="00A719E9" w:rsidP="00A719E9">
      <w:pPr>
        <w:spacing w:after="120" w:line="240" w:lineRule="auto"/>
        <w:ind w:left="720" w:hanging="720"/>
        <w:rPr>
          <w:rFonts w:ascii="Arial" w:hAnsi="Arial" w:cs="Arial"/>
          <w:noProof/>
          <w:sz w:val="20"/>
          <w:szCs w:val="20"/>
        </w:rPr>
      </w:pPr>
      <w:r w:rsidRPr="00405A64">
        <w:rPr>
          <w:rFonts w:ascii="Arial" w:hAnsi="Arial" w:cs="Arial"/>
          <w:noProof/>
          <w:sz w:val="20"/>
          <w:szCs w:val="20"/>
        </w:rPr>
        <w:t xml:space="preserve">Zhao CM, Fan WH, Wang WX (2009) Aqueous and dietary copper uptake and elimination in </w:t>
      </w:r>
      <w:r w:rsidRPr="00405A64">
        <w:rPr>
          <w:rFonts w:ascii="Arial" w:hAnsi="Arial" w:cs="Arial"/>
          <w:i/>
          <w:noProof/>
          <w:sz w:val="20"/>
          <w:szCs w:val="20"/>
        </w:rPr>
        <w:t>Daphnia magna</w:t>
      </w:r>
      <w:r w:rsidRPr="00405A64">
        <w:rPr>
          <w:rFonts w:ascii="Arial" w:hAnsi="Arial" w:cs="Arial"/>
          <w:noProof/>
          <w:sz w:val="20"/>
          <w:szCs w:val="20"/>
        </w:rPr>
        <w:t xml:space="preserve"> determined by the </w:t>
      </w:r>
      <w:r w:rsidRPr="00405A64">
        <w:rPr>
          <w:rFonts w:ascii="Arial" w:hAnsi="Arial" w:cs="Arial"/>
          <w:noProof/>
          <w:sz w:val="20"/>
          <w:szCs w:val="20"/>
          <w:vertAlign w:val="superscript"/>
        </w:rPr>
        <w:t>67</w:t>
      </w:r>
      <w:r w:rsidRPr="00405A64">
        <w:rPr>
          <w:rFonts w:ascii="Arial" w:hAnsi="Arial" w:cs="Arial"/>
          <w:noProof/>
          <w:sz w:val="20"/>
          <w:szCs w:val="20"/>
        </w:rPr>
        <w:t>Cu radiotracer. Environ Toxicol Chem 28(11):2360-2366</w:t>
      </w:r>
    </w:p>
    <w:sectPr w:rsidR="00A719E9" w:rsidRPr="00405A64" w:rsidSect="00AC5347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467B5"/>
    <w:multiLevelType w:val="hybridMultilevel"/>
    <w:tmpl w:val="CAE67C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CD7714"/>
    <w:rsid w:val="0010642A"/>
    <w:rsid w:val="0019557C"/>
    <w:rsid w:val="001B7C29"/>
    <w:rsid w:val="001C7D56"/>
    <w:rsid w:val="001D5E95"/>
    <w:rsid w:val="002431DD"/>
    <w:rsid w:val="0025580C"/>
    <w:rsid w:val="002A0007"/>
    <w:rsid w:val="002A60AA"/>
    <w:rsid w:val="00393B4E"/>
    <w:rsid w:val="003A2F07"/>
    <w:rsid w:val="00437CE4"/>
    <w:rsid w:val="004D7100"/>
    <w:rsid w:val="004E16C0"/>
    <w:rsid w:val="005309E7"/>
    <w:rsid w:val="005611F1"/>
    <w:rsid w:val="005B60B9"/>
    <w:rsid w:val="005D6C4A"/>
    <w:rsid w:val="00676C0D"/>
    <w:rsid w:val="006C1502"/>
    <w:rsid w:val="006F3EAB"/>
    <w:rsid w:val="00720A6E"/>
    <w:rsid w:val="00754164"/>
    <w:rsid w:val="0075676F"/>
    <w:rsid w:val="00773753"/>
    <w:rsid w:val="007A663E"/>
    <w:rsid w:val="00825FDB"/>
    <w:rsid w:val="0087249B"/>
    <w:rsid w:val="00881FB3"/>
    <w:rsid w:val="008C1CD9"/>
    <w:rsid w:val="008E56DC"/>
    <w:rsid w:val="00905607"/>
    <w:rsid w:val="00912D65"/>
    <w:rsid w:val="00997E9F"/>
    <w:rsid w:val="009F2462"/>
    <w:rsid w:val="009F41EF"/>
    <w:rsid w:val="00A5790E"/>
    <w:rsid w:val="00A719E9"/>
    <w:rsid w:val="00A72BC3"/>
    <w:rsid w:val="00A92DED"/>
    <w:rsid w:val="00AB751F"/>
    <w:rsid w:val="00AC5347"/>
    <w:rsid w:val="00C11D44"/>
    <w:rsid w:val="00C23132"/>
    <w:rsid w:val="00CD7714"/>
    <w:rsid w:val="00D93F70"/>
    <w:rsid w:val="00D95D30"/>
    <w:rsid w:val="00F15EEB"/>
    <w:rsid w:val="00F613F5"/>
    <w:rsid w:val="00FE4C35"/>
    <w:rsid w:val="00FF6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6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55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55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55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55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55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5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7C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DeForest</dc:creator>
  <cp:lastModifiedBy>Rick Cardwell</cp:lastModifiedBy>
  <cp:revision>10</cp:revision>
  <dcterms:created xsi:type="dcterms:W3CDTF">2012-04-24T18:59:00Z</dcterms:created>
  <dcterms:modified xsi:type="dcterms:W3CDTF">2012-07-03T20:30:00Z</dcterms:modified>
</cp:coreProperties>
</file>